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A3" w:rsidRPr="00FA2B7B" w:rsidRDefault="005B11A3" w:rsidP="00FA2B7B">
      <w:pPr>
        <w:ind w:left="5245"/>
        <w:jc w:val="center"/>
        <w:rPr>
          <w:rFonts w:ascii="Times New Roman" w:hAnsi="Times New Roman" w:cs="Times New Roman"/>
        </w:rPr>
      </w:pPr>
      <w:r w:rsidRPr="00FA2B7B">
        <w:rPr>
          <w:rFonts w:ascii="Arial" w:hAnsi="Arial" w:cs="Arial"/>
          <w:sz w:val="20"/>
          <w:szCs w:val="20"/>
        </w:rPr>
        <w:t>Постановление Правительства МО от 19.12.2017 N 1079/46</w:t>
      </w:r>
      <w:r w:rsidRPr="00FA2B7B">
        <w:rPr>
          <w:rFonts w:ascii="Arial" w:hAnsi="Arial" w:cs="Arial"/>
          <w:sz w:val="20"/>
          <w:szCs w:val="20"/>
        </w:rPr>
        <w:br/>
        <w:t>"О Московской областной программе государственных гарантий бесплатного оказания гражданам медицинской помощи на 2018 год и плановый период 2019 и 2020 годов"</w:t>
      </w:r>
    </w:p>
    <w:p w:rsidR="005B11A3" w:rsidRDefault="005B11A3" w:rsidP="005B11A3">
      <w:pPr>
        <w:pStyle w:val="ConsPlusNormal"/>
        <w:jc w:val="right"/>
        <w:outlineLvl w:val="1"/>
      </w:pPr>
    </w:p>
    <w:p w:rsidR="005B11A3" w:rsidRDefault="005B11A3" w:rsidP="005B11A3">
      <w:pPr>
        <w:pStyle w:val="ConsPlusNormal"/>
        <w:jc w:val="right"/>
        <w:outlineLvl w:val="1"/>
      </w:pPr>
    </w:p>
    <w:p w:rsidR="007D2A3A" w:rsidRPr="00FA2B7B" w:rsidRDefault="00A86398" w:rsidP="007D2A3A">
      <w:pPr>
        <w:pStyle w:val="ConsPlusNormal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>Показатели</w:t>
      </w:r>
      <w:r w:rsidR="007D2A3A" w:rsidRPr="00FA2B7B">
        <w:rPr>
          <w:b/>
          <w:sz w:val="32"/>
          <w:szCs w:val="32"/>
        </w:rPr>
        <w:t xml:space="preserve"> доступности и качества медицинской помощи</w:t>
      </w:r>
    </w:p>
    <w:p w:rsidR="007D2A3A" w:rsidRDefault="007D2A3A" w:rsidP="007D2A3A">
      <w:pPr>
        <w:pStyle w:val="ConsPlusNormal"/>
        <w:jc w:val="both"/>
      </w:pPr>
    </w:p>
    <w:p w:rsidR="007D2A3A" w:rsidRDefault="007D2A3A" w:rsidP="007D2A3A">
      <w:pPr>
        <w:pStyle w:val="ConsPlusNormal"/>
        <w:ind w:firstLine="540"/>
        <w:jc w:val="both"/>
      </w:pPr>
      <w:r>
        <w:t>Критериями доступности и качества медицинской помощи являются: удовлетворенность населения медицинской помощью на 2018-2020 годы - не менее 66,5 процента, в том числе: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городского - не менее 66,5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сельского - не менее 66,5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болезней системы кровообращения (число умерших от болезней системы кровообращения на 100 тыс. человек населения) в 2018 году - не более 649,4 случая, в том числе: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городского - не более 646,0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сельского - не более 609,4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болезней системы кровообращения (число умерших от болезней системы кровообращения на 100 тыс. человек населения) в 2019 году - не более 625,5 случая, в 2020 году - 610,4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 в 2018 году - не более 192,8 случая, в том числе: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городского - не более 195,8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сельского - не более 184,2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новообразований, в том числе злокачественных (число умерших от новообразований, в том числе злокачественных, на 100 тыс. человек населения), в 2019 году - не более 190,0 случая, в 2020 году - не более 188,0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туберкулеза (случаев на 100 тыс. человек населения) в 2018 году - не более 5,5 случая, в том числе: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городского - не более 5,5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сельского - не более 5,5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от туберкулеза (случаев на 100 тыс. человек населения) в 2019 году - не более 5,3 случая, в 2020 году - не более 5,1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в трудоспособном возрасте (число умерших в трудоспособном возрасте на 100 тыс. человек населения) на 2018-2020 годы - не более 470,0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населения трудоспособного возраста от болезней системы кровообращения (число умерших от болезней системы кровообращения в трудоспособном возрасте на 100 тыс. человек населения) на 2018-2020 годы - не более 151,8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</w:t>
      </w:r>
      <w:proofErr w:type="gramStart"/>
      <w:r>
        <w:t>умерших</w:t>
      </w:r>
      <w:proofErr w:type="gramEnd"/>
      <w:r>
        <w:t xml:space="preserve"> в трудоспособном возрасте на дому в общем количестве умерших в трудоспособном возрасте на 2018-2020 годы - не более 17,0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материнская смертность (на 100 тыс. </w:t>
      </w:r>
      <w:proofErr w:type="gramStart"/>
      <w:r>
        <w:t>родившихся</w:t>
      </w:r>
      <w:proofErr w:type="gramEnd"/>
      <w:r>
        <w:t xml:space="preserve"> живыми) на 2018-2020 годы - не более 8,0 </w:t>
      </w:r>
      <w:r>
        <w:lastRenderedPageBreak/>
        <w:t>случая (в 2018 году - 8,0 случая, в 2019 году - 7,8 случая, в 2020 году - 7,5 случая);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младенческая смертность (на 1000 </w:t>
      </w:r>
      <w:proofErr w:type="gramStart"/>
      <w:r>
        <w:t>родившихся</w:t>
      </w:r>
      <w:proofErr w:type="gramEnd"/>
      <w:r>
        <w:t xml:space="preserve"> живыми, в том числе в городской и сельской местности) в 2018 году - не более 4,5 случая, в том числе: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городского - не более 4,7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сельского - не более 3,5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младенческая смертность (на 1000 </w:t>
      </w:r>
      <w:proofErr w:type="gramStart"/>
      <w:r>
        <w:t>родившихся</w:t>
      </w:r>
      <w:proofErr w:type="gramEnd"/>
      <w:r>
        <w:t xml:space="preserve"> живыми, в том числе в городской и сельской местности) в 2019 году - не более 4,3 случая, в 2020 году - не более 4,1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</w:t>
      </w:r>
      <w:proofErr w:type="gramStart"/>
      <w:r>
        <w:t>умерших</w:t>
      </w:r>
      <w:proofErr w:type="gramEnd"/>
      <w:r>
        <w:t xml:space="preserve"> в возрасте до 1 года на дому в общем количестве умерших в возрасте до 1 года на 2018-2020 годы - не более 5,5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детей в возрасте 0-4 лет (на 100 тыс. человек населения соответствующего возраста) на 2018-2020 годы - не более 140,0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умерших в возрасте 0-4 лет на дому в общем количестве умерших в возрасте 0-4 лет на 2018-2020 годы - не более 7,1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детей в возрасте 0-17 лет (на 100 тыс. человек населения соответствующего возраста) в 2018 году - не более 69,0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смертность детей в возрасте 0-17 лет (на 100 тыс. человек населения соответствующего возраста) в 2019 году - не более 68,5 случая, в 2020 году - не более 68,0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умерших в возрасте 0-17 лет на дому в общем количестве умерших в возрасте 0-17 лет на 2018-2020 годы - не более 10,0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пациентов, больных злокачественными новообразованиями, состоящих на учете с момента установления диагноза 5 лет и более, в общем числе пациентов со злокачественными новообразованиями, состоящих на учете, на 2018-2020 годы - не менее 56,0 процента (в 2018 году - 56,0 процента, в 2019 году - 56,0 процента, в 2020 году - 56,2 процента);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впервые выявленных случаев фиброзно-кавернозного туберкулеза в общем количестве случаев туберкулеза в течение года на 2018-2020 годы - не более 2,0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впервые выявленных случаев онкологических заболеваний на ранних стадиях (I и II стадии) в общем количестве выявленных случаев онкологических заболеваний в течение года на 2018-2020 годы - не менее 54,01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инфарктом миокарда, госпитализированных </w:t>
      </w:r>
      <w:proofErr w:type="gramStart"/>
      <w:r>
        <w:t>в первые</w:t>
      </w:r>
      <w:proofErr w:type="gramEnd"/>
      <w:r>
        <w:t xml:space="preserve"> 12 часов от начала заболевания, в общем количестве госпитализированных пациентов с инфарктом миокарда на 2018-2020 годы - не менее 50,0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острым инфарктом, которым проведена </w:t>
      </w:r>
      <w:proofErr w:type="spellStart"/>
      <w:r>
        <w:t>тромболитическая</w:t>
      </w:r>
      <w:proofErr w:type="spellEnd"/>
      <w:r>
        <w:t xml:space="preserve"> терапия, в общем количестве пациентов с острым инфарктом миокарда на 2018-2020 годы - не менее 26,0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острым инфарктом миокарда, которым проведено </w:t>
      </w:r>
      <w:proofErr w:type="spellStart"/>
      <w:r>
        <w:t>стентирование</w:t>
      </w:r>
      <w:proofErr w:type="spellEnd"/>
      <w:r>
        <w:t xml:space="preserve"> коронарных артерий, в общем количестве пациентов с острым инфарктом миокарда на 2018-2020 годы - не менее 25 процентов;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острым и повторным инфарктом миокарда, которым выездной бригадой скорой медицинской помощи </w:t>
      </w:r>
      <w:proofErr w:type="gramStart"/>
      <w:r>
        <w:t>проведен</w:t>
      </w:r>
      <w:proofErr w:type="gramEnd"/>
      <w:r>
        <w:t xml:space="preserve"> </w:t>
      </w:r>
      <w:proofErr w:type="spellStart"/>
      <w:r>
        <w:t>тромболиз</w:t>
      </w:r>
      <w:proofErr w:type="spellEnd"/>
      <w:r>
        <w:t>, в общем количестве пациентов с острым и повторным инфарктом миокарда, которым оказана медицинская помощь выездными бригадами скорой медицинской помощи, на 2018-2020 годы - не менее 15,0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острыми цереброваскулярными болезнями, госпитализированных </w:t>
      </w:r>
      <w:proofErr w:type="gramStart"/>
      <w:r>
        <w:t>в первые</w:t>
      </w:r>
      <w:proofErr w:type="gramEnd"/>
      <w:r>
        <w:t xml:space="preserve"> 6 часов от начала заболевания, в общем количестве госпитализированных пациентов с острыми цереброваскулярными болезнями на 2018-2020 годы - 35,0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пациентов с острым ишемическим инсультом, которым проведена </w:t>
      </w:r>
      <w:proofErr w:type="spellStart"/>
      <w:r>
        <w:t>тромболитическая</w:t>
      </w:r>
      <w:proofErr w:type="spellEnd"/>
      <w:r>
        <w:t xml:space="preserve"> терапия </w:t>
      </w:r>
      <w:proofErr w:type="gramStart"/>
      <w:r>
        <w:t>в первые</w:t>
      </w:r>
      <w:proofErr w:type="gramEnd"/>
      <w:r>
        <w:t xml:space="preserve"> 6 часов госпитализации, в общем количестве пациентов с острым ишемическим инсультом на 2018-2020 годы - не менее 2,1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lastRenderedPageBreak/>
        <w:t>количество обоснованных жалоб, в том числе на отказ в оказании медицинской помощи, представляемой в рамках Московской областной программы, на 2018-2020 годы - 0,002 на 1000 человек населения;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обеспеченность населения врачами (включая городское и сельское население) на 2018-2020 годы - не менее 32,4 на 10 тыс. человек населения, в том числе оказывающими медицинскую помощь: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амбулаторных условиях, - не менее 18,3 на 10 тыс. человек населения;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стационарных условиях, - не менее 10,5 на 10 тыс. человек населения;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обеспеченность населения средним медицинским персоналом (включая городское и сельское население) на 2018-2020 годы - не менее 66,4 на 10 тыс. человек населения, в том числе оказывающим медицинскую помощь: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амбулаторных условиях, - не менее 30,6 на 10 тыс. человек населения;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стационарных условиях, - не менее 31,4 на 10 тыс. человек населения;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средняя длительность лечения в медицинских организациях, оказывающих медицинскую помощь в стационарных условиях, в среднем по Московской области на 2018-2020 годы - не более 11,5 дня;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Московскую областную программу на 2018-2020 годы - не менее 7,4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 xml:space="preserve">доля расходов </w:t>
      </w:r>
      <w:proofErr w:type="gramStart"/>
      <w:r>
        <w:t>на оказание медицинской помощи в амбулаторных условиях в неотложной форме в общих расходах на Московскую областную программу</w:t>
      </w:r>
      <w:proofErr w:type="gramEnd"/>
      <w:r>
        <w:t xml:space="preserve"> на 2018-2020 годы - не менее 2,2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полнота охвата профилактическими осмотрами детей на 2018-2020 годы - не менее 95,0 процента, в том числе проживающих: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городской местности, - не менее 95,0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сельской местности, - не менее 95,0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стационарных условиях в рамках Программы ОМС, на 2018-2020 годы - не менее 10,1 процента;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число лиц, проживающих в сельской местности, которым оказана скорая медицинская помощь, на 1000 человек сельского населения на 2018-2020 годы - не более 389,0 случая;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доля фельдшерско-акушерских пунктов и фельдшерских пунктов, находящихся в аварийном состоянии и требующих капитального ремонта, в общем количестве фельдшерско-акушерских пунктов и фельдшерских пунктов на 2018-2020 годы - не более 29,0 процента.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Эффективность деятельности медицинских организаций на 2018-2020 годы: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выполнение функции врачебной должности - не менее 3900 посещений, в том числе расположенных: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городской местности, - не менее 3472 посещений;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сельской местности, - не менее 3773 посещений;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показатели рационального и целевого использования коечного фонда на 2018-2020 годы: число работы койки в году - не менее 331 дня, в том числе расположенной: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городской местности, - не менее 331,0 дня;</w:t>
      </w:r>
    </w:p>
    <w:p w:rsidR="007D2A3A" w:rsidRDefault="007D2A3A" w:rsidP="007D2A3A">
      <w:pPr>
        <w:pStyle w:val="ConsPlusNormal"/>
        <w:spacing w:before="200"/>
        <w:ind w:firstLine="540"/>
        <w:jc w:val="both"/>
      </w:pPr>
      <w:r>
        <w:t>в сельской местности, - не менее 341,0 дня.</w:t>
      </w:r>
    </w:p>
    <w:p w:rsidR="009C7789" w:rsidRDefault="00A86398" w:rsidP="007D2A3A">
      <w:pPr>
        <w:pStyle w:val="ConsPlusNormal"/>
        <w:jc w:val="right"/>
        <w:outlineLvl w:val="1"/>
      </w:pPr>
    </w:p>
    <w:sectPr w:rsidR="009C7789" w:rsidSect="005B11A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B11A3"/>
    <w:rsid w:val="00056B5F"/>
    <w:rsid w:val="00140D39"/>
    <w:rsid w:val="0023492C"/>
    <w:rsid w:val="003474A8"/>
    <w:rsid w:val="003F6329"/>
    <w:rsid w:val="005B11A3"/>
    <w:rsid w:val="007D2408"/>
    <w:rsid w:val="007D2A3A"/>
    <w:rsid w:val="00837C16"/>
    <w:rsid w:val="008B7DC8"/>
    <w:rsid w:val="008D4E45"/>
    <w:rsid w:val="009B069C"/>
    <w:rsid w:val="00A86398"/>
    <w:rsid w:val="00BB5063"/>
    <w:rsid w:val="00D12B13"/>
    <w:rsid w:val="00D5396F"/>
    <w:rsid w:val="00D565A0"/>
    <w:rsid w:val="00E409F8"/>
    <w:rsid w:val="00E8319E"/>
    <w:rsid w:val="00FA2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5B11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7382</Characters>
  <Application>Microsoft Office Word</Application>
  <DocSecurity>0</DocSecurity>
  <Lines>61</Lines>
  <Paragraphs>17</Paragraphs>
  <ScaleCrop>false</ScaleCrop>
  <Company/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Вадим</cp:lastModifiedBy>
  <cp:revision>3</cp:revision>
  <dcterms:created xsi:type="dcterms:W3CDTF">2019-01-20T09:28:00Z</dcterms:created>
  <dcterms:modified xsi:type="dcterms:W3CDTF">2019-01-20T09:28:00Z</dcterms:modified>
</cp:coreProperties>
</file>